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黑体" w:hAnsi="黑体" w:eastAsia="黑体" w:cs="黑体"/>
          <w:bCs/>
          <w:sz w:val="28"/>
          <w:szCs w:val="28"/>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方正小标宋简体" w:hAnsi="Times New Roman" w:eastAsia="方正小标宋简体" w:cs="Times New Roman"/>
          <w:b/>
          <w:sz w:val="36"/>
          <w:szCs w:val="36"/>
          <w:lang w:val="en-US" w:eastAsia="zh-CN"/>
        </w:rPr>
      </w:pPr>
      <w:r>
        <w:rPr>
          <w:rFonts w:hint="eastAsia" w:ascii="方正小标宋简体" w:hAnsi="Times New Roman" w:eastAsia="方正小标宋简体" w:cs="Times New Roman"/>
          <w:b/>
          <w:sz w:val="36"/>
          <w:szCs w:val="36"/>
        </w:rPr>
        <w:t>2021年</w:t>
      </w:r>
      <w:r>
        <w:rPr>
          <w:rFonts w:hint="eastAsia" w:ascii="方正小标宋简体" w:eastAsia="方正小标宋简体" w:cs="Times New Roman"/>
          <w:b/>
          <w:sz w:val="36"/>
          <w:szCs w:val="36"/>
          <w:lang w:eastAsia="zh-CN"/>
        </w:rPr>
        <w:t>获批</w:t>
      </w:r>
      <w:r>
        <w:rPr>
          <w:rFonts w:hint="eastAsia" w:ascii="方正小标宋简体" w:hAnsi="Times New Roman" w:eastAsia="方正小标宋简体" w:cs="Times New Roman"/>
          <w:b/>
          <w:sz w:val="36"/>
          <w:szCs w:val="36"/>
        </w:rPr>
        <w:t>项目立项</w:t>
      </w:r>
      <w:r>
        <w:rPr>
          <w:rFonts w:hint="eastAsia" w:ascii="方正小标宋简体" w:eastAsia="方正小标宋简体" w:cs="Times New Roman"/>
          <w:b/>
          <w:sz w:val="36"/>
          <w:szCs w:val="36"/>
          <w:lang w:eastAsia="zh-CN"/>
        </w:rPr>
        <w:t>清单</w:t>
      </w:r>
    </w:p>
    <w:p>
      <w:pPr>
        <w:spacing w:line="40" w:lineRule="exact"/>
        <w:rPr>
          <w:rFonts w:ascii="Arial" w:hAnsi="Arial" w:cs="Arial"/>
          <w:color w:val="000000"/>
          <w:szCs w:val="20"/>
        </w:rPr>
      </w:pPr>
    </w:p>
    <w:tbl>
      <w:tblPr>
        <w:tblStyle w:val="15"/>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46"/>
        <w:gridCol w:w="1318"/>
        <w:gridCol w:w="4012"/>
        <w:gridCol w:w="945"/>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687"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序号</w:t>
            </w:r>
          </w:p>
        </w:tc>
        <w:tc>
          <w:tcPr>
            <w:tcW w:w="1146"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所属学院</w:t>
            </w:r>
          </w:p>
        </w:tc>
        <w:tc>
          <w:tcPr>
            <w:tcW w:w="1318"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项目编号</w:t>
            </w:r>
          </w:p>
        </w:tc>
        <w:tc>
          <w:tcPr>
            <w:tcW w:w="4012"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项目名称</w:t>
            </w:r>
          </w:p>
        </w:tc>
        <w:tc>
          <w:tcPr>
            <w:tcW w:w="945"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负责人</w:t>
            </w:r>
          </w:p>
        </w:tc>
        <w:tc>
          <w:tcPr>
            <w:tcW w:w="1147"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研究类型</w:t>
            </w:r>
          </w:p>
        </w:tc>
        <w:tc>
          <w:tcPr>
            <w:tcW w:w="1147"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建筑学院</w:t>
            </w:r>
          </w:p>
        </w:tc>
        <w:tc>
          <w:tcPr>
            <w:tcW w:w="1318" w:type="dxa"/>
            <w:shd w:val="clear" w:color="auto" w:fill="auto"/>
            <w:vAlign w:val="center"/>
          </w:tcPr>
          <w:p>
            <w:pPr>
              <w:widowControl/>
              <w:jc w:val="center"/>
              <w:rPr>
                <w:rFonts w:hint="eastAsia" w:ascii="Times New Roman" w:hAnsi="Times New Roman" w:eastAsia="宋体" w:cs="宋体"/>
                <w:color w:val="000000"/>
                <w:kern w:val="0"/>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001</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基于领域知识的长城数字化修复研究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李宗飞</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2</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建筑学院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002</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基于深度神经网络的隐蔽界址点高精度定位方法</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田董炜</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3</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土木学院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003</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高围压条件下各向异性岩石强度准则及本构模型研究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王泽帆</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4</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环能学院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004</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spacing w:val="-11"/>
                <w:kern w:val="0"/>
                <w:sz w:val="20"/>
                <w:szCs w:val="20"/>
                <w:lang w:val="en-US" w:eastAsia="zh-CN" w:bidi="ar-SA"/>
              </w:rPr>
            </w:pPr>
            <w:r>
              <w:rPr>
                <w:rFonts w:hint="eastAsia" w:ascii="Times New Roman" w:hAnsi="Times New Roman" w:eastAsia="宋体" w:cs="宋体"/>
                <w:i w:val="0"/>
                <w:iCs w:val="0"/>
                <w:color w:val="auto"/>
                <w:spacing w:val="-11"/>
                <w:kern w:val="0"/>
                <w:sz w:val="20"/>
                <w:szCs w:val="20"/>
                <w:u w:val="none"/>
                <w:lang w:val="en-US" w:eastAsia="zh-CN" w:bidi="ar"/>
              </w:rPr>
              <w:t>固定化Fe-MOFs基催化剂连续运行高级氧化降解禽畜废水中抗生素的性能及机理研究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衣晓虹</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5</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机电学院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005</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高速铁路轨道不平顺的智能识别算法研究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王小慧</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6</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建筑学院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006</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明清北京祭坛建筑文化空间营造研究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侯晓萱</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7</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建筑学院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007</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基于机器学习的建筑智能化设计方法研究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王鹏跃</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8</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建筑学院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008</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基于建构理论的首都功能核心区既有建筑数字化保护与更新研究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张屹峰</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9</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建筑学院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009</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基于大数据和空间句法的城市公共空间测度、影响机制和设计响应研究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凡来</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10</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土木学院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010</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0"/>
                <w:sz w:val="20"/>
                <w:szCs w:val="20"/>
                <w:u w:val="none"/>
                <w:lang w:val="en-US" w:eastAsia="zh-CN" w:bidi="ar"/>
              </w:rPr>
              <w:t>模块化全装配大跨度环桁架钢结构节</w:t>
            </w:r>
          </w:p>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点构造创新及理论研究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上官广浩</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11</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土木学院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011</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关于冻结砂卵石土的力学特性研究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赵军霖</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12</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土木学院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012</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聚醚型聚氨酯混凝土胶结料与矿料界面粘结性能的多尺度研究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许萌</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13</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土木学院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013</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北京明长城灾变数值模拟分析及保护性修缮建议</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陈思成</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基础研究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14</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环能学院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014</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石墨化炉新型余热深度回收关键技术机理研究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蓝云成</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15</w:t>
            </w:r>
          </w:p>
        </w:tc>
        <w:tc>
          <w:tcPr>
            <w:tcW w:w="114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机电学院</w:t>
            </w:r>
          </w:p>
        </w:tc>
        <w:tc>
          <w:tcPr>
            <w:tcW w:w="1318" w:type="dxa"/>
            <w:shd w:val="clear" w:color="auto" w:fill="auto"/>
            <w:vAlign w:val="center"/>
          </w:tcPr>
          <w:p>
            <w:pPr>
              <w:jc w:val="center"/>
              <w:rPr>
                <w:rFonts w:hint="eastAsia" w:ascii="Times New Roman" w:hAnsi="Times New Roman" w:eastAsia="宋体" w:cs="宋体"/>
                <w:color w:val="000000"/>
                <w:kern w:val="2"/>
                <w:sz w:val="20"/>
                <w:szCs w:val="20"/>
                <w:lang w:val="en-US" w:eastAsia="zh-CN" w:bidi="ar-SA"/>
              </w:rPr>
            </w:pPr>
            <w:r>
              <w:rPr>
                <w:rFonts w:hint="eastAsia" w:ascii="Times New Roman" w:hAnsi="Times New Roman" w:eastAsia="宋体" w:cs="宋体"/>
                <w:color w:val="000000"/>
                <w:sz w:val="20"/>
                <w:szCs w:val="20"/>
                <w:lang w:eastAsia="zh-CN"/>
              </w:rPr>
              <w:t>DG2021</w:t>
            </w:r>
            <w:r>
              <w:rPr>
                <w:rFonts w:hint="eastAsia" w:ascii="Times New Roman" w:hAnsi="Times New Roman" w:eastAsia="宋体" w:cs="宋体"/>
                <w:color w:val="000000"/>
                <w:sz w:val="20"/>
                <w:szCs w:val="20"/>
              </w:rPr>
              <w:t>015</w:t>
            </w:r>
          </w:p>
        </w:tc>
        <w:tc>
          <w:tcPr>
            <w:tcW w:w="401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基于视觉测量反馈实现机器人瓷砖铺贴的控制方法研究</w:t>
            </w:r>
          </w:p>
        </w:tc>
        <w:tc>
          <w:tcPr>
            <w:tcW w:w="94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王舜</w:t>
            </w:r>
          </w:p>
        </w:tc>
        <w:tc>
          <w:tcPr>
            <w:tcW w:w="114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i w:val="0"/>
                <w:iCs w:val="0"/>
                <w:color w:val="auto"/>
                <w:kern w:val="0"/>
                <w:sz w:val="20"/>
                <w:szCs w:val="20"/>
                <w:u w:val="none"/>
                <w:lang w:val="en-US" w:eastAsia="zh-CN" w:bidi="ar"/>
              </w:rPr>
              <w:t>应用研究</w:t>
            </w:r>
          </w:p>
        </w:tc>
        <w:tc>
          <w:tcPr>
            <w:tcW w:w="114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bl>
    <w:p>
      <w:pPr>
        <w:jc w:val="left"/>
        <w:rPr>
          <w:rFonts w:eastAsia="仿宋_GB2312"/>
          <w:sz w:val="24"/>
        </w:rPr>
      </w:pPr>
    </w:p>
    <w:sectPr>
      <w:footerReference r:id="rId3" w:type="default"/>
      <w:footerReference r:id="rId4" w:type="even"/>
      <w:pgSz w:w="11906" w:h="16838"/>
      <w:pgMar w:top="1417" w:right="1474" w:bottom="1417" w:left="1588" w:header="851" w:footer="158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ZDhmYjljODFjZDVmNjI0NjViOTUyM2RhZDIxNWM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F1A1AA8"/>
    <w:rsid w:val="10CD111B"/>
    <w:rsid w:val="114E14C6"/>
    <w:rsid w:val="16126BE6"/>
    <w:rsid w:val="1A065735"/>
    <w:rsid w:val="1E301218"/>
    <w:rsid w:val="21D22900"/>
    <w:rsid w:val="283915F6"/>
    <w:rsid w:val="2D986580"/>
    <w:rsid w:val="2E2C6FEE"/>
    <w:rsid w:val="33AD7FE0"/>
    <w:rsid w:val="4065482F"/>
    <w:rsid w:val="42F20336"/>
    <w:rsid w:val="431164D2"/>
    <w:rsid w:val="49C460A4"/>
    <w:rsid w:val="4A093701"/>
    <w:rsid w:val="4C937188"/>
    <w:rsid w:val="4ED76A15"/>
    <w:rsid w:val="51F32FDB"/>
    <w:rsid w:val="5B873A47"/>
    <w:rsid w:val="5D902BE3"/>
    <w:rsid w:val="66A0308B"/>
    <w:rsid w:val="6CB85FDA"/>
    <w:rsid w:val="736473A9"/>
    <w:rsid w:val="779B57E3"/>
    <w:rsid w:val="77AB6840"/>
    <w:rsid w:val="7E7D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640</Words>
  <Characters>775</Characters>
  <Lines>35</Lines>
  <Paragraphs>10</Paragraphs>
  <TotalTime>1</TotalTime>
  <ScaleCrop>false</ScaleCrop>
  <LinksUpToDate>false</LinksUpToDate>
  <CharactersWithSpaces>775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左左</cp:lastModifiedBy>
  <cp:lastPrinted>2014-11-17T06:09:00Z</cp:lastPrinted>
  <dcterms:modified xsi:type="dcterms:W3CDTF">2023-04-11T02:40:35Z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F4EEC0F4D93E4E96A11E5EDFB67AA309</vt:lpwstr>
  </property>
</Properties>
</file>