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</w:rPr>
      </w:pPr>
      <w:r>
        <w:rPr>
          <w:rFonts w:hint="eastAsia"/>
          <w:b/>
        </w:rPr>
        <w:t>附件1：202</w:t>
      </w:r>
      <w:r>
        <w:rPr>
          <w:rFonts w:hint="eastAsia"/>
          <w:b/>
          <w:lang w:val="en-US" w:eastAsia="zh-CN"/>
        </w:rPr>
        <w:t>2</w:t>
      </w:r>
      <w:r>
        <w:rPr>
          <w:rFonts w:hint="eastAsia"/>
          <w:b/>
        </w:rPr>
        <w:t>年研究生教育教学质量提升项目</w:t>
      </w:r>
      <w:bookmarkStart w:id="0" w:name="_GoBack"/>
      <w:bookmarkEnd w:id="0"/>
      <w:r>
        <w:rPr>
          <w:rFonts w:hint="eastAsia"/>
          <w:b/>
        </w:rPr>
        <w:t>立项指南</w:t>
      </w:r>
    </w:p>
    <w:p>
      <w:pPr>
        <w:jc w:val="left"/>
        <w:rPr>
          <w:rFonts w:hint="eastAsia"/>
          <w:b/>
        </w:rPr>
      </w:pPr>
    </w:p>
    <w:tbl>
      <w:tblPr>
        <w:tblStyle w:val="4"/>
        <w:tblW w:w="10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1890"/>
        <w:gridCol w:w="679"/>
        <w:gridCol w:w="6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1"/>
                <w:szCs w:val="21"/>
              </w:rPr>
              <w:t>项目类别代码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1"/>
                <w:szCs w:val="21"/>
              </w:rPr>
              <w:t>项目类别名称</w:t>
            </w:r>
          </w:p>
        </w:tc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645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1"/>
                <w:szCs w:val="21"/>
              </w:rPr>
              <w:t>拟资助的主要研究课题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  <w:r>
              <w:rPr>
                <w:rFonts w:ascii="Times New Roman" w:eastAsia="仿宋_GB2312"/>
                <w:kern w:val="0"/>
                <w:sz w:val="21"/>
                <w:szCs w:val="21"/>
              </w:rPr>
              <w:t>A</w:t>
            </w:r>
          </w:p>
        </w:tc>
        <w:tc>
          <w:tcPr>
            <w:tcW w:w="1890" w:type="dxa"/>
            <w:vMerge w:val="restart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研究生教育理论研究</w:t>
            </w:r>
          </w:p>
        </w:tc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A-1</w:t>
            </w:r>
          </w:p>
        </w:tc>
        <w:tc>
          <w:tcPr>
            <w:tcW w:w="6456" w:type="dxa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服务国家创新驱动战略的研究生教育发展研究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A-2</w:t>
            </w:r>
          </w:p>
        </w:tc>
        <w:tc>
          <w:tcPr>
            <w:tcW w:w="6456" w:type="dxa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面向行（企）业需求的学科领域研究生培养特点与规律探究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A-3</w:t>
            </w:r>
          </w:p>
        </w:tc>
        <w:tc>
          <w:tcPr>
            <w:tcW w:w="6456" w:type="dxa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研究生培养质量监控与评价体系建设研究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A-4</w:t>
            </w:r>
          </w:p>
        </w:tc>
        <w:tc>
          <w:tcPr>
            <w:tcW w:w="6456" w:type="dxa"/>
            <w:vAlign w:val="center"/>
          </w:tcPr>
          <w:p>
            <w:pPr>
              <w:jc w:val="left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交叉学科建设与人才培养体系研究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  <w:r>
              <w:rPr>
                <w:rFonts w:ascii="Times New Roman" w:eastAsia="仿宋_GB2312"/>
                <w:kern w:val="0"/>
                <w:sz w:val="21"/>
                <w:szCs w:val="21"/>
              </w:rPr>
              <w:t>B</w:t>
            </w:r>
          </w:p>
        </w:tc>
        <w:tc>
          <w:tcPr>
            <w:tcW w:w="1890" w:type="dxa"/>
            <w:vMerge w:val="restart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研究生教育改革与实践</w:t>
            </w:r>
          </w:p>
        </w:tc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B-1</w:t>
            </w:r>
          </w:p>
        </w:tc>
        <w:tc>
          <w:tcPr>
            <w:tcW w:w="6456" w:type="dxa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研究生创新人才培养体系建设研究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B-2</w:t>
            </w:r>
          </w:p>
        </w:tc>
        <w:tc>
          <w:tcPr>
            <w:tcW w:w="6456" w:type="dxa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学术学位与专业学位分类培养模式研究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hint="eastAsia" w:ascii="Times New Roman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B-</w:t>
            </w:r>
            <w:r>
              <w:rPr>
                <w:rFonts w:hint="eastAsia" w:ascii="Times New Roman" w:eastAsia="仿宋_GB2312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456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研究生参与学术训练及科教融合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产教融合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培养成效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hint="eastAsia" w:ascii="Times New Roman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B-</w:t>
            </w:r>
            <w:r>
              <w:rPr>
                <w:rFonts w:hint="eastAsia" w:ascii="Times New Roman" w:eastAsia="仿宋_GB2312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456" w:type="dxa"/>
            <w:vAlign w:val="center"/>
          </w:tcPr>
          <w:p>
            <w:pPr>
              <w:jc w:val="left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研究生国际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合作培养创新机制研究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hint="eastAsia" w:ascii="Times New Roman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B-</w:t>
            </w:r>
            <w:r>
              <w:rPr>
                <w:rFonts w:hint="eastAsia" w:ascii="Times New Roman" w:eastAsia="仿宋_GB2312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456" w:type="dxa"/>
            <w:vAlign w:val="center"/>
          </w:tcPr>
          <w:p>
            <w:pPr>
              <w:jc w:val="left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硕博贯通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培养促进机制研究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  <w:r>
              <w:rPr>
                <w:rFonts w:ascii="Times New Roman" w:eastAsia="仿宋_GB2312"/>
                <w:kern w:val="0"/>
                <w:sz w:val="21"/>
                <w:szCs w:val="21"/>
              </w:rPr>
              <w:t>C</w:t>
            </w:r>
          </w:p>
        </w:tc>
        <w:tc>
          <w:tcPr>
            <w:tcW w:w="1890" w:type="dxa"/>
            <w:vMerge w:val="restart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课程建设与教学改革</w:t>
            </w:r>
          </w:p>
        </w:tc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C-1</w:t>
            </w:r>
          </w:p>
        </w:tc>
        <w:tc>
          <w:tcPr>
            <w:tcW w:w="6456" w:type="dxa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 xml:space="preserve">研究生课程理论与实验教学体系构建研究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C-2</w:t>
            </w:r>
          </w:p>
        </w:tc>
        <w:tc>
          <w:tcPr>
            <w:tcW w:w="6456" w:type="dxa"/>
            <w:vAlign w:val="center"/>
          </w:tcPr>
          <w:p>
            <w:pPr>
              <w:jc w:val="left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研究生课程教学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方法改革与实践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C-3</w:t>
            </w:r>
          </w:p>
        </w:tc>
        <w:tc>
          <w:tcPr>
            <w:tcW w:w="6456" w:type="dxa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现代教育技术在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研究生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课堂教学中的应用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C-4</w:t>
            </w:r>
          </w:p>
        </w:tc>
        <w:tc>
          <w:tcPr>
            <w:tcW w:w="6456" w:type="dxa"/>
            <w:vAlign w:val="center"/>
          </w:tcPr>
          <w:p>
            <w:pPr>
              <w:jc w:val="left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研究生课程思政示范课程建设研究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C-5</w:t>
            </w:r>
          </w:p>
        </w:tc>
        <w:tc>
          <w:tcPr>
            <w:tcW w:w="6456" w:type="dxa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研究生课程评价机制探索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  <w:r>
              <w:rPr>
                <w:rFonts w:ascii="Times New Roman" w:eastAsia="仿宋_GB2312"/>
                <w:kern w:val="0"/>
                <w:sz w:val="21"/>
                <w:szCs w:val="21"/>
              </w:rPr>
              <w:t>D</w:t>
            </w:r>
          </w:p>
        </w:tc>
        <w:tc>
          <w:tcPr>
            <w:tcW w:w="1890" w:type="dxa"/>
            <w:vMerge w:val="restart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专业学位培养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模式</w:t>
            </w:r>
          </w:p>
        </w:tc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D-1</w:t>
            </w:r>
          </w:p>
        </w:tc>
        <w:tc>
          <w:tcPr>
            <w:tcW w:w="6456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面向行（企）业需求的专业学位硕士生培养模式研究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D-2</w:t>
            </w:r>
          </w:p>
        </w:tc>
        <w:tc>
          <w:tcPr>
            <w:tcW w:w="6456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专业实践环节考核标准与过程监控体系构建研究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D-3</w:t>
            </w:r>
          </w:p>
        </w:tc>
        <w:tc>
          <w:tcPr>
            <w:tcW w:w="6456" w:type="dxa"/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专业学位人才培养案例库建设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  <w:r>
              <w:rPr>
                <w:rFonts w:ascii="Times New Roman" w:eastAsia="仿宋_GB2312"/>
                <w:kern w:val="0"/>
                <w:sz w:val="21"/>
                <w:szCs w:val="21"/>
              </w:rPr>
              <w:t>E</w:t>
            </w:r>
          </w:p>
        </w:tc>
        <w:tc>
          <w:tcPr>
            <w:tcW w:w="1890" w:type="dxa"/>
            <w:vMerge w:val="restart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招生工作改革与创新</w:t>
            </w:r>
          </w:p>
        </w:tc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E-1</w:t>
            </w:r>
          </w:p>
        </w:tc>
        <w:tc>
          <w:tcPr>
            <w:tcW w:w="6456" w:type="dxa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学科影响力提升建设与研究生招生宣传工作研究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E-2</w:t>
            </w:r>
          </w:p>
        </w:tc>
        <w:tc>
          <w:tcPr>
            <w:tcW w:w="6456" w:type="dxa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研究生生源选拔机制创新研究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E-3</w:t>
            </w:r>
          </w:p>
        </w:tc>
        <w:tc>
          <w:tcPr>
            <w:tcW w:w="6456" w:type="dxa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硕博连读招考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促进机制研究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  <w:r>
              <w:rPr>
                <w:rFonts w:ascii="Times New Roman" w:eastAsia="仿宋_GB2312"/>
                <w:kern w:val="0"/>
                <w:sz w:val="21"/>
                <w:szCs w:val="21"/>
              </w:rPr>
              <w:t>F</w:t>
            </w:r>
          </w:p>
        </w:tc>
        <w:tc>
          <w:tcPr>
            <w:tcW w:w="1890" w:type="dxa"/>
            <w:vMerge w:val="restart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导师队伍建设与管理</w:t>
            </w:r>
          </w:p>
        </w:tc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F-1</w:t>
            </w:r>
          </w:p>
        </w:tc>
        <w:tc>
          <w:tcPr>
            <w:tcW w:w="6456" w:type="dxa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研究生导师评价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与考核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机制探索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F-2</w:t>
            </w:r>
          </w:p>
        </w:tc>
        <w:tc>
          <w:tcPr>
            <w:tcW w:w="6456" w:type="dxa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专业学位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研究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生校内外导师的合作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模式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F-3</w:t>
            </w:r>
          </w:p>
        </w:tc>
        <w:tc>
          <w:tcPr>
            <w:tcW w:w="6456" w:type="dxa"/>
            <w:vAlign w:val="center"/>
          </w:tcPr>
          <w:p>
            <w:pPr>
              <w:jc w:val="left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体系化导师培训机制研究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  <w:r>
              <w:rPr>
                <w:rFonts w:ascii="Times New Roman" w:eastAsia="仿宋_GB2312"/>
                <w:kern w:val="0"/>
                <w:sz w:val="21"/>
                <w:szCs w:val="21"/>
              </w:rPr>
              <w:t>G</w:t>
            </w:r>
          </w:p>
        </w:tc>
        <w:tc>
          <w:tcPr>
            <w:tcW w:w="1890" w:type="dxa"/>
            <w:vMerge w:val="restart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学位论文与学位授予</w:t>
            </w:r>
          </w:p>
        </w:tc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G-1</w:t>
            </w:r>
          </w:p>
        </w:tc>
        <w:tc>
          <w:tcPr>
            <w:tcW w:w="6456" w:type="dxa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学位论文过程管理与质量监控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hint="eastAsia" w:ascii="Times New Roman" w:eastAsia="仿宋_GB2312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  <w:highlight w:val="none"/>
                <w:lang w:val="en-US" w:eastAsia="zh-CN"/>
              </w:rPr>
              <w:t>G-2</w:t>
            </w:r>
          </w:p>
        </w:tc>
        <w:tc>
          <w:tcPr>
            <w:tcW w:w="6456" w:type="dxa"/>
            <w:vAlign w:val="center"/>
          </w:tcPr>
          <w:p>
            <w:pPr>
              <w:jc w:val="left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/>
              </w:rPr>
              <w:t>体现学科特点的学位授予质量标准与质量保障研究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hint="eastAsia" w:ascii="Times New Roman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G-</w:t>
            </w:r>
            <w:r>
              <w:rPr>
                <w:rFonts w:hint="eastAsia" w:ascii="Times New Roman" w:eastAsia="仿宋_GB2312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456" w:type="dxa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学位授予管理工作创新研究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  <w:r>
              <w:rPr>
                <w:rFonts w:ascii="Times New Roman" w:eastAsia="仿宋_GB2312"/>
                <w:kern w:val="0"/>
                <w:sz w:val="21"/>
                <w:szCs w:val="21"/>
              </w:rPr>
              <w:t>H</w:t>
            </w:r>
          </w:p>
        </w:tc>
        <w:tc>
          <w:tcPr>
            <w:tcW w:w="1890" w:type="dxa"/>
            <w:vMerge w:val="restart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学风建设与学术道德研究</w:t>
            </w:r>
          </w:p>
        </w:tc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H-1</w:t>
            </w:r>
          </w:p>
        </w:tc>
        <w:tc>
          <w:tcPr>
            <w:tcW w:w="6456" w:type="dxa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研究生科学道德培养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与学术规范教育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hint="eastAsia" w:ascii="Times New Roman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H-</w:t>
            </w:r>
            <w:r>
              <w:rPr>
                <w:rFonts w:hint="eastAsia" w:ascii="Times New Roman" w:eastAsia="仿宋_GB2312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456" w:type="dxa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研究生学术道德自律与外部监督研究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Times New Roman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  <w:lang w:val="en-US" w:eastAsia="zh-CN"/>
              </w:rPr>
              <w:t>I</w:t>
            </w:r>
          </w:p>
        </w:tc>
        <w:tc>
          <w:tcPr>
            <w:tcW w:w="1890" w:type="dxa"/>
            <w:vMerge w:val="restart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教育教学管理改革与创新</w:t>
            </w:r>
          </w:p>
        </w:tc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  <w:lang w:val="en-US" w:eastAsia="zh-CN"/>
              </w:rPr>
              <w:t>I</w:t>
            </w: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-1</w:t>
            </w:r>
          </w:p>
        </w:tc>
        <w:tc>
          <w:tcPr>
            <w:tcW w:w="6456" w:type="dxa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校院两级管理模式下的研究生教育管理方式创新研究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hint="eastAsia" w:ascii="Times New Roman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  <w:lang w:val="en-US" w:eastAsia="zh-CN"/>
              </w:rPr>
              <w:t>I-2</w:t>
            </w:r>
          </w:p>
        </w:tc>
        <w:tc>
          <w:tcPr>
            <w:tcW w:w="6456" w:type="dxa"/>
            <w:vAlign w:val="center"/>
          </w:tcPr>
          <w:p>
            <w:pPr>
              <w:jc w:val="left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研究生教育教学管理信息化建设研究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>
            <w:pPr>
              <w:widowControl/>
              <w:jc w:val="center"/>
              <w:rPr>
                <w:rFonts w:hint="default" w:ascii="Times New Roman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  <w:lang w:val="en-US" w:eastAsia="zh-CN"/>
              </w:rPr>
              <w:t>I-3</w:t>
            </w:r>
          </w:p>
        </w:tc>
        <w:tc>
          <w:tcPr>
            <w:tcW w:w="6456" w:type="dxa"/>
            <w:vAlign w:val="center"/>
          </w:tcPr>
          <w:p>
            <w:pPr>
              <w:jc w:val="left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跨学科、跨学院研究生培养教学管理研究</w:t>
            </w:r>
          </w:p>
        </w:tc>
      </w:tr>
    </w:tbl>
    <w:p>
      <w:pPr>
        <w:spacing w:line="520" w:lineRule="exact"/>
      </w:pPr>
    </w:p>
    <w:sectPr>
      <w:headerReference r:id="rId3" w:type="default"/>
      <w:footerReference r:id="rId4" w:type="even"/>
      <w:pgSz w:w="11906" w:h="16838"/>
      <w:pgMar w:top="1134" w:right="1134" w:bottom="1134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35C7"/>
    <w:rsid w:val="00003BD7"/>
    <w:rsid w:val="00014B9C"/>
    <w:rsid w:val="00023823"/>
    <w:rsid w:val="00037878"/>
    <w:rsid w:val="0004690A"/>
    <w:rsid w:val="000C2878"/>
    <w:rsid w:val="001460F1"/>
    <w:rsid w:val="00246FE8"/>
    <w:rsid w:val="002551B1"/>
    <w:rsid w:val="00282B6E"/>
    <w:rsid w:val="002B5B19"/>
    <w:rsid w:val="002E670C"/>
    <w:rsid w:val="002E73B9"/>
    <w:rsid w:val="002F74A7"/>
    <w:rsid w:val="003451EF"/>
    <w:rsid w:val="003516EF"/>
    <w:rsid w:val="00357D18"/>
    <w:rsid w:val="0037010F"/>
    <w:rsid w:val="00397BDD"/>
    <w:rsid w:val="003A550D"/>
    <w:rsid w:val="003B5676"/>
    <w:rsid w:val="003E76F3"/>
    <w:rsid w:val="003F7E59"/>
    <w:rsid w:val="00427248"/>
    <w:rsid w:val="004A1D85"/>
    <w:rsid w:val="004B0107"/>
    <w:rsid w:val="004F7027"/>
    <w:rsid w:val="00564DEB"/>
    <w:rsid w:val="00566E2F"/>
    <w:rsid w:val="00586E3A"/>
    <w:rsid w:val="005C573A"/>
    <w:rsid w:val="006742F7"/>
    <w:rsid w:val="00674AAC"/>
    <w:rsid w:val="006B6925"/>
    <w:rsid w:val="006C2194"/>
    <w:rsid w:val="006D6D12"/>
    <w:rsid w:val="007156F4"/>
    <w:rsid w:val="00776D4B"/>
    <w:rsid w:val="00786C19"/>
    <w:rsid w:val="007B2E81"/>
    <w:rsid w:val="007E03AE"/>
    <w:rsid w:val="007E701A"/>
    <w:rsid w:val="00835495"/>
    <w:rsid w:val="00843C34"/>
    <w:rsid w:val="00862C24"/>
    <w:rsid w:val="008A23B4"/>
    <w:rsid w:val="008C7CBF"/>
    <w:rsid w:val="00910B6C"/>
    <w:rsid w:val="00922737"/>
    <w:rsid w:val="0092675E"/>
    <w:rsid w:val="00940F01"/>
    <w:rsid w:val="00964BF2"/>
    <w:rsid w:val="009750E3"/>
    <w:rsid w:val="009D5EA2"/>
    <w:rsid w:val="009F2849"/>
    <w:rsid w:val="009F65C5"/>
    <w:rsid w:val="009F723A"/>
    <w:rsid w:val="00A40006"/>
    <w:rsid w:val="00A72F90"/>
    <w:rsid w:val="00A97443"/>
    <w:rsid w:val="00AA7BEC"/>
    <w:rsid w:val="00AE0A40"/>
    <w:rsid w:val="00B12DBF"/>
    <w:rsid w:val="00B6509B"/>
    <w:rsid w:val="00B840C5"/>
    <w:rsid w:val="00BB3F03"/>
    <w:rsid w:val="00C11221"/>
    <w:rsid w:val="00C3515A"/>
    <w:rsid w:val="00C5584C"/>
    <w:rsid w:val="00CB7039"/>
    <w:rsid w:val="00D217F8"/>
    <w:rsid w:val="00D402D4"/>
    <w:rsid w:val="00D55A61"/>
    <w:rsid w:val="00D75923"/>
    <w:rsid w:val="00DD2866"/>
    <w:rsid w:val="00DE05F8"/>
    <w:rsid w:val="00DE36E4"/>
    <w:rsid w:val="00DF18F2"/>
    <w:rsid w:val="00E32E99"/>
    <w:rsid w:val="00E622FA"/>
    <w:rsid w:val="00E835C7"/>
    <w:rsid w:val="00E9267B"/>
    <w:rsid w:val="00EC6655"/>
    <w:rsid w:val="00EF6D79"/>
    <w:rsid w:val="00F35703"/>
    <w:rsid w:val="00F70E4A"/>
    <w:rsid w:val="07064053"/>
    <w:rsid w:val="078F2AD5"/>
    <w:rsid w:val="0AF85654"/>
    <w:rsid w:val="10BA6662"/>
    <w:rsid w:val="157402BF"/>
    <w:rsid w:val="15B6262D"/>
    <w:rsid w:val="1DD95CAE"/>
    <w:rsid w:val="22095405"/>
    <w:rsid w:val="26B83743"/>
    <w:rsid w:val="283A2045"/>
    <w:rsid w:val="2F9061DA"/>
    <w:rsid w:val="38366F43"/>
    <w:rsid w:val="384851B4"/>
    <w:rsid w:val="38B47EBD"/>
    <w:rsid w:val="43A41286"/>
    <w:rsid w:val="4B1977C2"/>
    <w:rsid w:val="4BA62C82"/>
    <w:rsid w:val="54B509EE"/>
    <w:rsid w:val="5B797B95"/>
    <w:rsid w:val="5C324B0C"/>
    <w:rsid w:val="7ADB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Times New Roman" w:eastAsia="仿宋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hAnsiTheme="minorHAnsi" w:cstheme="minorBidi"/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hAnsiTheme="minorHAnsi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字符"/>
    <w:basedOn w:val="5"/>
    <w:link w:val="2"/>
    <w:qFormat/>
    <w:uiPriority w:val="99"/>
    <w:rPr>
      <w:rFonts w:ascii="仿宋" w:eastAsia="仿宋"/>
      <w:sz w:val="18"/>
      <w:szCs w:val="18"/>
    </w:rPr>
  </w:style>
  <w:style w:type="character" w:customStyle="1" w:styleId="8">
    <w:name w:val="页眉 字符"/>
    <w:basedOn w:val="5"/>
    <w:link w:val="3"/>
    <w:qFormat/>
    <w:uiPriority w:val="0"/>
    <w:rPr>
      <w:rFonts w:ascii="仿宋" w:eastAsia="仿宋"/>
      <w:sz w:val="18"/>
      <w:szCs w:val="18"/>
    </w:rPr>
  </w:style>
  <w:style w:type="character" w:customStyle="1" w:styleId="9">
    <w:name w:val="页眉 Char1"/>
    <w:basedOn w:val="5"/>
    <w:semiHidden/>
    <w:qFormat/>
    <w:uiPriority w:val="99"/>
    <w:rPr>
      <w:rFonts w:ascii="仿宋" w:hAnsi="Times New Roman" w:eastAsia="仿宋" w:cs="Times New Roman"/>
      <w:sz w:val="18"/>
      <w:szCs w:val="18"/>
    </w:rPr>
  </w:style>
  <w:style w:type="character" w:customStyle="1" w:styleId="10">
    <w:name w:val="页脚 Char1"/>
    <w:basedOn w:val="5"/>
    <w:semiHidden/>
    <w:qFormat/>
    <w:uiPriority w:val="99"/>
    <w:rPr>
      <w:rFonts w:ascii="仿宋" w:hAnsi="Times New Roman" w:eastAsia="仿宋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817</Characters>
  <Lines>6</Lines>
  <Paragraphs>1</Paragraphs>
  <TotalTime>5</TotalTime>
  <ScaleCrop>false</ScaleCrop>
  <LinksUpToDate>false</LinksUpToDate>
  <CharactersWithSpaces>959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2017-05-17T07:37:00Z</dcterms:created>
  <dc:creator>汪长征</dc:creator>
  <cp:lastModifiedBy>常瑾</cp:lastModifiedBy>
  <cp:lastPrinted>2022-01-13T06:43:00Z</cp:lastPrinted>
  <dcterms:modified xsi:type="dcterms:W3CDTF">2022-01-14T05:33:17Z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B35EB9387D65434EBFCE72DAEDCEEB57</vt:lpwstr>
  </property>
</Properties>
</file>